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spacing w:before="0" w:after="0" w:line="240" w:lineRule="auto"/>
        <w:ind w:firstLine="0" w:firstLineChars="0"/>
        <w:jc w:val="left"/>
        <w:rPr>
          <w:rFonts w:hint="eastAsia" w:ascii="黑体" w:hAnsi="黑体" w:eastAsia="黑体"/>
          <w:b w:val="0"/>
        </w:rPr>
      </w:pPr>
      <w:r>
        <w:rPr>
          <w:rFonts w:ascii="黑体" w:hAnsi="黑体" w:eastAsia="黑体"/>
          <w:b w:val="0"/>
        </w:rPr>
        <w:t xml:space="preserve">附件6 </w:t>
      </w:r>
    </w:p>
    <w:p>
      <w:pPr>
        <w:adjustRightInd w:val="0"/>
        <w:snapToGrid w:val="0"/>
        <w:spacing w:line="408" w:lineRule="auto"/>
        <w:rPr>
          <w:rFonts w:hint="eastAsia" w:ascii="黑体" w:hAnsi="黑体" w:eastAsia="黑体"/>
          <w:sz w:val="32"/>
          <w:szCs w:val="32"/>
        </w:rPr>
      </w:pPr>
    </w:p>
    <w:p>
      <w:pPr>
        <w:pStyle w:val="2"/>
        <w:spacing w:before="0" w:after="0" w:line="240" w:lineRule="auto"/>
        <w:ind w:firstLine="0" w:firstLineChars="0"/>
        <w:jc w:val="center"/>
        <w:rPr>
          <w:rFonts w:hint="eastAsia" w:ascii="方正小标宋_GBK" w:hAnsi="Times New Roman" w:eastAsia="方正小标宋_GBK"/>
          <w:b w:val="0"/>
          <w:sz w:val="38"/>
          <w:szCs w:val="38"/>
        </w:rPr>
      </w:pPr>
      <w:r>
        <w:rPr>
          <w:rFonts w:hint="eastAsia" w:ascii="方正小标宋_GBK" w:hAnsi="Times New Roman" w:eastAsia="方正小标宋_GBK"/>
          <w:b w:val="0"/>
          <w:sz w:val="38"/>
          <w:szCs w:val="38"/>
        </w:rPr>
        <w:t>工业炉窑大气污染</w:t>
      </w:r>
      <w:r>
        <w:rPr>
          <w:rFonts w:hint="eastAsia" w:ascii="方正小标宋_GBK" w:hAnsi="Times New Roman" w:eastAsia="方正小标宋_GBK"/>
          <w:b w:val="0"/>
          <w:sz w:val="38"/>
          <w:szCs w:val="38"/>
          <w:lang w:eastAsia="zh-CN"/>
        </w:rPr>
        <w:t>综合治理</w:t>
      </w:r>
      <w:r>
        <w:rPr>
          <w:rFonts w:hint="eastAsia" w:ascii="方正小标宋_GBK" w:hAnsi="Times New Roman" w:eastAsia="方正小标宋_GBK"/>
          <w:b w:val="0"/>
          <w:sz w:val="38"/>
          <w:szCs w:val="38"/>
        </w:rPr>
        <w:t>重点项目表</w:t>
      </w:r>
    </w:p>
    <w:p>
      <w:pPr>
        <w:pStyle w:val="2"/>
        <w:spacing w:beforeLines="80" w:after="0" w:line="240" w:lineRule="auto"/>
        <w:ind w:firstLine="0" w:firstLineChars="0"/>
        <w:jc w:val="center"/>
        <w:rPr>
          <w:rFonts w:hint="eastAsia" w:ascii="楷体_GB2312" w:hAnsi="Times New Roman" w:eastAsia="楷体_GB2312"/>
          <w:b w:val="0"/>
        </w:rPr>
      </w:pPr>
      <w:r>
        <w:rPr>
          <w:rFonts w:hint="eastAsia" w:ascii="楷体_GB2312" w:hAnsi="Times New Roman" w:eastAsia="楷体_GB2312"/>
          <w:b w:val="0"/>
        </w:rPr>
        <w:t>（示  例）</w:t>
      </w:r>
    </w:p>
    <w:p>
      <w:pPr>
        <w:adjustRightInd w:val="0"/>
        <w:snapToGrid w:val="0"/>
        <w:spacing w:line="408" w:lineRule="auto"/>
        <w:rPr>
          <w:rFonts w:hint="eastAsia" w:ascii="黑体" w:hAnsi="黑体" w:eastAsia="黑体"/>
          <w:sz w:val="32"/>
          <w:szCs w:val="32"/>
        </w:rPr>
      </w:pPr>
    </w:p>
    <w:tbl>
      <w:tblPr>
        <w:tblW w:w="14287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34"/>
        <w:gridCol w:w="744"/>
        <w:gridCol w:w="744"/>
        <w:gridCol w:w="709"/>
        <w:gridCol w:w="616"/>
        <w:gridCol w:w="607"/>
        <w:gridCol w:w="607"/>
        <w:gridCol w:w="607"/>
        <w:gridCol w:w="607"/>
        <w:gridCol w:w="608"/>
        <w:gridCol w:w="608"/>
        <w:gridCol w:w="608"/>
        <w:gridCol w:w="521"/>
        <w:gridCol w:w="770"/>
        <w:gridCol w:w="533"/>
        <w:gridCol w:w="503"/>
        <w:gridCol w:w="713"/>
        <w:gridCol w:w="608"/>
        <w:gridCol w:w="608"/>
        <w:gridCol w:w="506"/>
        <w:gridCol w:w="710"/>
        <w:gridCol w:w="608"/>
        <w:gridCol w:w="608"/>
      </w:tblGrid>
      <w:tr>
        <w:trPr>
          <w:trHeight w:val="720" w:hRule="atLeast"/>
          <w:jc w:val="center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44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  <w:t>省（区、市）</w:t>
            </w:r>
          </w:p>
        </w:tc>
        <w:tc>
          <w:tcPr>
            <w:tcW w:w="744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  <w:t>市（州、盟）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/>
                <w:bCs/>
                <w:color w:val="000000"/>
                <w:spacing w:val="-10"/>
                <w:kern w:val="0"/>
                <w:szCs w:val="21"/>
              </w:rPr>
              <w:t>县(市、区、旗</w:t>
            </w:r>
            <w:r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61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  <w:t>乡</w:t>
            </w:r>
          </w:p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  <w:t>（镇）</w:t>
            </w:r>
          </w:p>
        </w:tc>
        <w:tc>
          <w:tcPr>
            <w:tcW w:w="607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607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统一社会信用代码</w:t>
            </w:r>
          </w:p>
        </w:tc>
        <w:tc>
          <w:tcPr>
            <w:tcW w:w="607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  <w:t>单位地址</w:t>
            </w:r>
          </w:p>
        </w:tc>
        <w:tc>
          <w:tcPr>
            <w:tcW w:w="607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  <w:t>行业类别</w:t>
            </w:r>
          </w:p>
        </w:tc>
        <w:tc>
          <w:tcPr>
            <w:tcW w:w="60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  <w:t>产品类别</w:t>
            </w:r>
          </w:p>
        </w:tc>
        <w:tc>
          <w:tcPr>
            <w:tcW w:w="60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  <w:t>炉窑类型</w:t>
            </w:r>
          </w:p>
        </w:tc>
        <w:tc>
          <w:tcPr>
            <w:tcW w:w="608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/>
                <w:bCs/>
                <w:color w:val="000000"/>
                <w:spacing w:val="-10"/>
                <w:kern w:val="0"/>
                <w:szCs w:val="21"/>
              </w:rPr>
              <w:t>炉窑子类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/>
                <w:bCs/>
                <w:color w:val="000000"/>
                <w:spacing w:val="-10"/>
                <w:kern w:val="0"/>
                <w:szCs w:val="21"/>
              </w:rPr>
              <w:t>该类炉窑个数</w:t>
            </w:r>
          </w:p>
        </w:tc>
        <w:tc>
          <w:tcPr>
            <w:tcW w:w="77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Cs/>
                <w:color w:val="000000"/>
                <w:spacing w:val="-10"/>
                <w:kern w:val="0"/>
                <w:szCs w:val="21"/>
              </w:rPr>
            </w:pPr>
            <w:r>
              <w:rPr>
                <w:rFonts w:ascii="黑体" w:hAnsi="黑体" w:eastAsia="黑体"/>
                <w:bCs/>
                <w:color w:val="000000"/>
                <w:spacing w:val="-10"/>
                <w:kern w:val="0"/>
                <w:szCs w:val="21"/>
              </w:rPr>
              <w:t>该类炉窑总</w:t>
            </w:r>
          </w:p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/>
                <w:bCs/>
                <w:color w:val="000000"/>
                <w:spacing w:val="-10"/>
                <w:kern w:val="0"/>
                <w:szCs w:val="21"/>
              </w:rPr>
              <w:t>规模</w:t>
            </w:r>
          </w:p>
        </w:tc>
        <w:tc>
          <w:tcPr>
            <w:tcW w:w="533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/>
                <w:bCs/>
                <w:color w:val="000000"/>
                <w:spacing w:val="-10"/>
                <w:kern w:val="0"/>
                <w:szCs w:val="21"/>
              </w:rPr>
              <w:t>规模单位</w:t>
            </w:r>
          </w:p>
        </w:tc>
        <w:tc>
          <w:tcPr>
            <w:tcW w:w="503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/>
                <w:bCs/>
                <w:color w:val="000000"/>
                <w:spacing w:val="-10"/>
                <w:kern w:val="0"/>
                <w:szCs w:val="21"/>
              </w:rPr>
              <w:t>燃料类型</w:t>
            </w:r>
          </w:p>
        </w:tc>
        <w:tc>
          <w:tcPr>
            <w:tcW w:w="713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Cs/>
                <w:color w:val="000000"/>
                <w:spacing w:val="-10"/>
                <w:kern w:val="0"/>
                <w:szCs w:val="21"/>
              </w:rPr>
            </w:pPr>
            <w:r>
              <w:rPr>
                <w:rFonts w:ascii="黑体" w:hAnsi="黑体" w:eastAsia="黑体"/>
                <w:bCs/>
                <w:color w:val="000000"/>
                <w:spacing w:val="-10"/>
                <w:kern w:val="0"/>
                <w:szCs w:val="21"/>
              </w:rPr>
              <w:t>主要燃料</w:t>
            </w:r>
            <w:r>
              <w:rPr>
                <w:rFonts w:hint="eastAsia" w:ascii="黑体" w:hAnsi="黑体" w:eastAsia="黑体"/>
                <w:bCs/>
                <w:color w:val="000000"/>
                <w:spacing w:val="-10"/>
                <w:kern w:val="0"/>
                <w:szCs w:val="21"/>
              </w:rPr>
              <w:t>年</w:t>
            </w:r>
            <w:r>
              <w:rPr>
                <w:rFonts w:ascii="黑体" w:hAnsi="黑体" w:eastAsia="黑体"/>
                <w:bCs/>
                <w:color w:val="000000"/>
                <w:spacing w:val="-10"/>
                <w:kern w:val="0"/>
                <w:szCs w:val="21"/>
              </w:rPr>
              <w:t>消</w:t>
            </w:r>
          </w:p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/>
                <w:bCs/>
                <w:color w:val="000000"/>
                <w:spacing w:val="-10"/>
                <w:kern w:val="0"/>
                <w:szCs w:val="21"/>
              </w:rPr>
              <w:t>耗量</w:t>
            </w:r>
          </w:p>
        </w:tc>
        <w:tc>
          <w:tcPr>
            <w:tcW w:w="60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  <w:t>燃料单位</w:t>
            </w:r>
          </w:p>
        </w:tc>
        <w:tc>
          <w:tcPr>
            <w:tcW w:w="60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  <w:t>是否安装自动监控设施</w:t>
            </w:r>
          </w:p>
        </w:tc>
        <w:tc>
          <w:tcPr>
            <w:tcW w:w="50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/>
                <w:bCs/>
                <w:color w:val="000000"/>
                <w:spacing w:val="-10"/>
                <w:kern w:val="0"/>
                <w:szCs w:val="21"/>
              </w:rPr>
              <w:t>治理方式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/>
                <w:bCs/>
                <w:color w:val="000000"/>
                <w:spacing w:val="-10"/>
                <w:kern w:val="0"/>
                <w:szCs w:val="21"/>
              </w:rPr>
              <w:t>替代的清洁</w:t>
            </w:r>
            <w:r>
              <w:rPr>
                <w:rFonts w:hint="eastAsia" w:ascii="黑体" w:hAnsi="黑体" w:eastAsia="黑体"/>
                <w:bCs/>
                <w:color w:val="000000"/>
                <w:spacing w:val="-10"/>
                <w:kern w:val="0"/>
                <w:szCs w:val="21"/>
              </w:rPr>
              <w:t>低碳</w:t>
            </w:r>
            <w:r>
              <w:rPr>
                <w:rFonts w:ascii="黑体" w:hAnsi="黑体" w:eastAsia="黑体"/>
                <w:bCs/>
                <w:color w:val="000000"/>
                <w:spacing w:val="-10"/>
                <w:kern w:val="0"/>
                <w:szCs w:val="21"/>
              </w:rPr>
              <w:t>能源类型</w:t>
            </w:r>
          </w:p>
        </w:tc>
        <w:tc>
          <w:tcPr>
            <w:tcW w:w="60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  <w:t>深度治理措施</w:t>
            </w:r>
          </w:p>
        </w:tc>
        <w:tc>
          <w:tcPr>
            <w:tcW w:w="60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  <w:t>计划完成时间</w:t>
            </w:r>
          </w:p>
        </w:tc>
      </w:tr>
      <w:tr>
        <w:trPr>
          <w:trHeight w:val="340" w:hRule="atLeast"/>
          <w:jc w:val="center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744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　</w:t>
            </w:r>
          </w:p>
        </w:tc>
        <w:tc>
          <w:tcPr>
            <w:tcW w:w="744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　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　</w:t>
            </w:r>
          </w:p>
        </w:tc>
        <w:tc>
          <w:tcPr>
            <w:tcW w:w="616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　</w:t>
            </w:r>
          </w:p>
        </w:tc>
        <w:tc>
          <w:tcPr>
            <w:tcW w:w="60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　</w:t>
            </w:r>
          </w:p>
        </w:tc>
        <w:tc>
          <w:tcPr>
            <w:tcW w:w="60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　</w:t>
            </w:r>
          </w:p>
        </w:tc>
        <w:tc>
          <w:tcPr>
            <w:tcW w:w="60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　</w:t>
            </w:r>
          </w:p>
        </w:tc>
        <w:tc>
          <w:tcPr>
            <w:tcW w:w="60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　</w:t>
            </w:r>
          </w:p>
        </w:tc>
        <w:tc>
          <w:tcPr>
            <w:tcW w:w="608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　</w:t>
            </w:r>
          </w:p>
        </w:tc>
        <w:tc>
          <w:tcPr>
            <w:tcW w:w="608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　</w:t>
            </w:r>
          </w:p>
        </w:tc>
        <w:tc>
          <w:tcPr>
            <w:tcW w:w="608" w:type="dxa"/>
            <w:vAlign w:val="top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　</w:t>
            </w:r>
          </w:p>
        </w:tc>
        <w:tc>
          <w:tcPr>
            <w:tcW w:w="770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　</w:t>
            </w:r>
          </w:p>
        </w:tc>
        <w:tc>
          <w:tcPr>
            <w:tcW w:w="53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　</w:t>
            </w:r>
          </w:p>
        </w:tc>
        <w:tc>
          <w:tcPr>
            <w:tcW w:w="50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　</w:t>
            </w:r>
          </w:p>
        </w:tc>
        <w:tc>
          <w:tcPr>
            <w:tcW w:w="71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　</w:t>
            </w:r>
          </w:p>
        </w:tc>
        <w:tc>
          <w:tcPr>
            <w:tcW w:w="608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　</w:t>
            </w:r>
          </w:p>
        </w:tc>
        <w:tc>
          <w:tcPr>
            <w:tcW w:w="608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　</w:t>
            </w:r>
          </w:p>
        </w:tc>
        <w:tc>
          <w:tcPr>
            <w:tcW w:w="506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　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　</w:t>
            </w:r>
          </w:p>
        </w:tc>
        <w:tc>
          <w:tcPr>
            <w:tcW w:w="608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　</w:t>
            </w:r>
          </w:p>
        </w:tc>
        <w:tc>
          <w:tcPr>
            <w:tcW w:w="608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　</w:t>
            </w:r>
          </w:p>
        </w:tc>
      </w:tr>
      <w:tr>
        <w:trPr>
          <w:trHeight w:val="340" w:hRule="atLeast"/>
          <w:jc w:val="center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44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44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1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07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07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07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07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0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0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08" w:type="dxa"/>
            <w:vAlign w:val="top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7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33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13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0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0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0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0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　</w:t>
            </w:r>
          </w:p>
        </w:tc>
      </w:tr>
      <w:tr>
        <w:trPr>
          <w:trHeight w:val="340" w:hRule="atLeast"/>
          <w:jc w:val="center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44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44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1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07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07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07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07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0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0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08" w:type="dxa"/>
            <w:vAlign w:val="top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7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33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13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0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0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0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0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　</w:t>
            </w:r>
          </w:p>
        </w:tc>
      </w:tr>
      <w:tr>
        <w:trPr>
          <w:trHeight w:val="340" w:hRule="atLeast"/>
          <w:jc w:val="center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744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44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1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07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07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07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07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0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0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08" w:type="dxa"/>
            <w:vAlign w:val="top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7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33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13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0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0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0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0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pStyle w:val="2"/>
        <w:spacing w:beforeLines="80" w:after="0" w:line="288" w:lineRule="auto"/>
        <w:ind w:left="420" w:hanging="420" w:hangingChars="200"/>
        <w:jc w:val="left"/>
        <w:rPr>
          <w:rFonts w:ascii="宋体" w:hAnsi="宋体" w:eastAsia="宋体"/>
          <w:b w:val="0"/>
          <w:sz w:val="21"/>
          <w:szCs w:val="21"/>
        </w:rPr>
      </w:pPr>
      <w:r>
        <w:rPr>
          <w:rFonts w:ascii="宋体" w:hAnsi="宋体" w:eastAsia="宋体"/>
          <w:b w:val="0"/>
          <w:sz w:val="21"/>
          <w:szCs w:val="21"/>
        </w:rPr>
        <w:t>注：1.行业类别、产品类别、炉窑类型和炉窑子类按照附件1填报</w:t>
      </w:r>
    </w:p>
    <w:p>
      <w:pPr>
        <w:pStyle w:val="2"/>
        <w:spacing w:before="0" w:after="0" w:line="288" w:lineRule="auto"/>
        <w:ind w:left="420" w:hanging="420" w:hangingChars="200"/>
        <w:jc w:val="left"/>
        <w:rPr>
          <w:rFonts w:ascii="宋体" w:hAnsi="宋体" w:eastAsia="宋体"/>
          <w:b w:val="0"/>
          <w:sz w:val="21"/>
          <w:szCs w:val="21"/>
        </w:rPr>
      </w:pPr>
      <w:r>
        <w:rPr>
          <w:rFonts w:hint="eastAsia" w:ascii="宋体" w:hAnsi="宋体" w:eastAsia="宋体"/>
          <w:b w:val="0"/>
          <w:sz w:val="21"/>
          <w:szCs w:val="21"/>
        </w:rPr>
        <w:t xml:space="preserve">    </w:t>
      </w:r>
      <w:r>
        <w:rPr>
          <w:rFonts w:ascii="宋体" w:hAnsi="宋体" w:eastAsia="宋体"/>
          <w:b w:val="0"/>
          <w:sz w:val="21"/>
          <w:szCs w:val="21"/>
        </w:rPr>
        <w:t>2.企业有多个炉窑子类的，每种炉窑子类填写一行</w:t>
      </w:r>
    </w:p>
    <w:p>
      <w:pPr>
        <w:pStyle w:val="2"/>
        <w:spacing w:before="0" w:after="0" w:line="288" w:lineRule="auto"/>
        <w:ind w:left="420" w:hanging="420" w:hangingChars="200"/>
        <w:jc w:val="left"/>
        <w:rPr>
          <w:rFonts w:ascii="宋体" w:hAnsi="宋体" w:eastAsia="宋体"/>
          <w:b w:val="0"/>
          <w:sz w:val="21"/>
          <w:szCs w:val="21"/>
        </w:rPr>
      </w:pPr>
      <w:r>
        <w:rPr>
          <w:rFonts w:hint="eastAsia" w:ascii="宋体" w:hAnsi="宋体" w:eastAsia="宋体"/>
          <w:b w:val="0"/>
          <w:sz w:val="21"/>
          <w:szCs w:val="21"/>
        </w:rPr>
        <w:t xml:space="preserve">    </w:t>
      </w:r>
      <w:r>
        <w:rPr>
          <w:rFonts w:ascii="宋体" w:hAnsi="宋体" w:eastAsia="宋体"/>
          <w:b w:val="0"/>
          <w:sz w:val="21"/>
          <w:szCs w:val="21"/>
        </w:rPr>
        <w:t>3.治理方式包括淘汰、清洁能源替代、深度治理等</w:t>
      </w:r>
    </w:p>
    <w:p>
      <w:pPr>
        <w:pStyle w:val="2"/>
        <w:spacing w:before="0" w:after="0" w:line="288" w:lineRule="auto"/>
        <w:ind w:left="420" w:hanging="420" w:hangingChars="200"/>
        <w:jc w:val="left"/>
        <w:rPr>
          <w:rFonts w:ascii="宋体" w:hAnsi="宋体" w:eastAsia="宋体"/>
          <w:b w:val="0"/>
          <w:sz w:val="21"/>
          <w:szCs w:val="21"/>
        </w:rPr>
      </w:pPr>
      <w:r>
        <w:rPr>
          <w:rFonts w:hint="eastAsia" w:ascii="宋体" w:hAnsi="宋体" w:eastAsia="宋体"/>
          <w:b w:val="0"/>
          <w:sz w:val="21"/>
          <w:szCs w:val="21"/>
        </w:rPr>
        <w:t xml:space="preserve">    </w:t>
      </w:r>
      <w:r>
        <w:rPr>
          <w:rFonts w:ascii="宋体" w:hAnsi="宋体" w:eastAsia="宋体"/>
          <w:b w:val="0"/>
          <w:sz w:val="21"/>
          <w:szCs w:val="21"/>
        </w:rPr>
        <w:t>4.替代的清洁能源类型包括天然气、电、集中供热等</w:t>
      </w:r>
    </w:p>
    <w:p>
      <w:pPr>
        <w:pStyle w:val="2"/>
        <w:spacing w:before="0" w:after="0" w:line="288" w:lineRule="auto"/>
        <w:ind w:left="420" w:hanging="420" w:hangingChars="200"/>
        <w:jc w:val="left"/>
        <w:rPr>
          <w:rFonts w:hint="eastAsia"/>
        </w:rPr>
      </w:pPr>
      <w:r>
        <w:rPr>
          <w:rFonts w:hint="eastAsia" w:ascii="宋体" w:hAnsi="宋体" w:eastAsia="宋体"/>
          <w:b w:val="0"/>
          <w:sz w:val="21"/>
          <w:szCs w:val="21"/>
        </w:rPr>
        <w:t xml:space="preserve">    </w:t>
      </w:r>
      <w:r>
        <w:rPr>
          <w:rFonts w:ascii="宋体" w:hAnsi="宋体" w:eastAsia="宋体"/>
          <w:b w:val="0"/>
          <w:sz w:val="21"/>
          <w:szCs w:val="21"/>
        </w:rPr>
        <w:t>5.深度治理措施包括脱硫脱硝除尘改造、VOCs治理以及无组织排放控制措施等</w:t>
      </w:r>
    </w:p>
    <w:p>
      <w:bookmarkStart w:id="0" w:name="_GoBack"/>
    </w:p>
    <w:bookmarkEnd w:id="0"/>
    <w:sectPr>
      <w:footerReference r:id="rId4" w:type="default"/>
      <w:pgSz w:w="16838" w:h="11906" w:orient="landscape"/>
      <w:pgMar w:top="1701" w:right="1418" w:bottom="1701" w:left="1418" w:header="851" w:footer="1418" w:gutter="0"/>
      <w:cols w:space="720" w:num="1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10</w: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adjustRightInd w:val="0"/>
      <w:snapToGrid w:val="0"/>
      <w:spacing w:before="260" w:after="260" w:line="413" w:lineRule="auto"/>
      <w:ind w:firstLine="200" w:firstLineChars="200"/>
      <w:outlineLvl w:val="1"/>
    </w:pPr>
    <w:rPr>
      <w:rFonts w:ascii="等线 Light" w:hAnsi="等线 Light" w:eastAsia="等线 Light"/>
      <w:b/>
      <w:bCs/>
      <w:kern w:val="0"/>
      <w:sz w:val="32"/>
      <w:szCs w:val="32"/>
    </w:rPr>
  </w:style>
  <w:style w:type="character" w:default="1" w:styleId="4">
    <w:name w:val="Default Paragraph Font"/>
    <w:semiHidden/>
    <w:uiPriority w:val="0"/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2019-07-12T05:45:00Z</dcterms:created>
  <dc:creator>新叶</dc:creator>
  <cp:lastModifiedBy>goveditor</cp:lastModifiedBy>
  <dcterms:modified xsi:type="dcterms:W3CDTF">2019-07-15T00:55:08Z</dcterms:modified>
  <dc:title>附件6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